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both"/>
        <w:rPr>
          <w:rFonts w:ascii="HelveticaNeue LT 55 Roman" w:hAnsi="HelveticaNeue LT 55 Roman"/>
          <w:b/>
          <w:b/>
          <w:sz w:val="20"/>
          <w:szCs w:val="20"/>
          <w:u w:val="single"/>
          <w:lang w:val="es-ES"/>
        </w:rPr>
      </w:pPr>
      <w:r>
        <w:rPr>
          <w:rFonts w:ascii="HelveticaNeue LT 55 Roman" w:hAnsi="HelveticaNeue LT 55 Roman"/>
          <w:b/>
          <w:sz w:val="20"/>
          <w:szCs w:val="20"/>
          <w:u w:val="single"/>
          <w:lang w:val="es-ES"/>
        </w:rPr>
        <w:t>GESTIÓN DE IRVI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 xml:space="preserve">Asesoramiento, realización de estudio, simulador económico, tramitación de hipoteca, supervisión de minutas, control posterior de escrituras y facturas generadas. </w:t>
      </w:r>
      <w:r>
        <w:rPr>
          <w:rFonts w:ascii="HelveticaNeue LT 55 Roman" w:hAnsi="HelveticaNeue LT 55 Roman"/>
          <w:b/>
          <w:sz w:val="18"/>
          <w:szCs w:val="18"/>
          <w:lang w:val="es-ES"/>
        </w:rPr>
        <w:t>Gratuita.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b/>
          <w:b/>
          <w:sz w:val="20"/>
          <w:szCs w:val="20"/>
          <w:u w:val="single"/>
          <w:lang w:val="es-ES"/>
        </w:rPr>
      </w:pPr>
      <w:r>
        <w:rPr>
          <w:rFonts w:ascii="HelveticaNeue LT 55 Roman" w:hAnsi="HelveticaNeue LT 55 Roman"/>
          <w:b/>
          <w:sz w:val="20"/>
          <w:szCs w:val="20"/>
          <w:u w:val="single"/>
          <w:lang w:val="es-ES"/>
        </w:rPr>
        <w:t>REQUISITOS DEL SOLICITANTE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 xml:space="preserve">- Tener </w:t>
      </w:r>
      <w:r>
        <w:rPr>
          <w:rFonts w:ascii="HelveticaNeue LT 55 Roman" w:hAnsi="HelveticaNeue LT 55 Roman"/>
          <w:b/>
          <w:sz w:val="18"/>
          <w:szCs w:val="18"/>
          <w:lang w:val="es-ES"/>
        </w:rPr>
        <w:t>más de 18 años de edad</w:t>
      </w:r>
      <w:r>
        <w:rPr>
          <w:rFonts w:ascii="HelveticaNeue LT 55 Roman" w:hAnsi="HelveticaNeue LT 55 Roman"/>
          <w:sz w:val="18"/>
          <w:szCs w:val="18"/>
          <w:lang w:val="es-ES"/>
        </w:rPr>
        <w:t>, sin poder superar los 75 años al final del préstamo.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 xml:space="preserve">- Cuota de préstamo inferior al </w:t>
      </w:r>
      <w:r>
        <w:rPr>
          <w:rFonts w:ascii="HelveticaNeue LT 55 Roman" w:hAnsi="HelveticaNeue LT 55 Roman"/>
          <w:b/>
          <w:sz w:val="18"/>
          <w:szCs w:val="18"/>
          <w:lang w:val="es-ES"/>
        </w:rPr>
        <w:t xml:space="preserve">35% Ingresos Brutos Mensuales </w:t>
      </w:r>
      <w:r>
        <w:rPr>
          <w:rFonts w:ascii="HelveticaNeue LT 55 Roman" w:hAnsi="HelveticaNeue LT 55 Roman"/>
          <w:sz w:val="18"/>
          <w:szCs w:val="18"/>
          <w:lang w:val="es-ES"/>
        </w:rPr>
        <w:t>e ingresos anuales superiores a</w:t>
      </w:r>
      <w:r>
        <w:rPr>
          <w:rFonts w:ascii="HelveticaNeue LT 55 Roman" w:hAnsi="HelveticaNeue LT 55 Roman"/>
          <w:b/>
          <w:sz w:val="18"/>
          <w:szCs w:val="18"/>
          <w:lang w:val="es-ES"/>
        </w:rPr>
        <w:t xml:space="preserve"> 1 vez IPREM 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b/>
          <w:b/>
          <w:sz w:val="20"/>
          <w:szCs w:val="20"/>
          <w:u w:val="single"/>
          <w:lang w:val="es-ES"/>
        </w:rPr>
      </w:pPr>
      <w:r>
        <w:rPr>
          <w:rFonts w:ascii="HelveticaNeue LT 55 Roman" w:hAnsi="HelveticaNeue LT 55 Roman"/>
          <w:b/>
          <w:sz w:val="20"/>
          <w:szCs w:val="20"/>
          <w:u w:val="single"/>
          <w:lang w:val="es-ES"/>
        </w:rPr>
        <w:t>REQUISITOS DE LA VIVIENDA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 xml:space="preserve">- Podrán acogerse todas las viviendas, tanto libres como acogidas a cualquier régimen protector, siempre que lo permita su título. Se podrán financiar </w:t>
      </w:r>
      <w:r>
        <w:rPr>
          <w:rFonts w:ascii="HelveticaNeue LT 55 Roman" w:hAnsi="HelveticaNeue LT 55 Roman"/>
          <w:b/>
          <w:sz w:val="18"/>
          <w:szCs w:val="18"/>
          <w:lang w:val="es-ES"/>
        </w:rPr>
        <w:t>autopromociones, primera vivienda, segunda vivienda y rehabilitación</w:t>
      </w:r>
      <w:r>
        <w:rPr>
          <w:rFonts w:ascii="HelveticaNeue LT 55 Roman" w:hAnsi="HelveticaNeue LT 55 Roman"/>
          <w:sz w:val="18"/>
          <w:szCs w:val="18"/>
          <w:lang w:val="es-ES"/>
        </w:rPr>
        <w:t>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>- Para la adquisición de primera vivienda: Domicilio habitual y permanente.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b/>
          <w:b/>
          <w:sz w:val="20"/>
          <w:szCs w:val="20"/>
          <w:u w:val="single"/>
          <w:lang w:val="es-ES"/>
        </w:rPr>
      </w:pPr>
      <w:r>
        <w:rPr>
          <w:rFonts w:ascii="HelveticaNeue LT 55 Roman" w:hAnsi="HelveticaNeue LT 55 Roman"/>
          <w:b/>
          <w:sz w:val="20"/>
          <w:szCs w:val="20"/>
          <w:u w:val="single"/>
          <w:lang w:val="es-ES"/>
        </w:rPr>
        <w:t>CONDICIONES FINANCIERAS DEL PRESTAMO HIPOTECARIO</w:t>
      </w:r>
      <w:r>
        <w:rPr>
          <w:rFonts w:ascii="HelveticaNeue LT 55 Roman" w:hAnsi="HelveticaNeue LT 55 Roman"/>
          <w:b/>
          <w:sz w:val="20"/>
          <w:szCs w:val="20"/>
          <w:lang w:val="es-ES"/>
        </w:rPr>
        <w:t xml:space="preserve"> (=&lt;80% s/tasación)</w:t>
      </w:r>
    </w:p>
    <w:tbl>
      <w:tblPr>
        <w:tblW w:w="8954" w:type="dxa"/>
        <w:jc w:val="center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643"/>
        <w:gridCol w:w="850"/>
        <w:gridCol w:w="1559"/>
        <w:gridCol w:w="1"/>
        <w:gridCol w:w="1275"/>
        <w:gridCol w:w="1"/>
        <w:gridCol w:w="1275"/>
        <w:gridCol w:w="1"/>
        <w:gridCol w:w="1133"/>
        <w:gridCol w:w="1215"/>
      </w:tblGrid>
      <w:tr>
        <w:trPr>
          <w:trHeight w:val="270" w:hRule="atLeast"/>
        </w:trPr>
        <w:tc>
          <w:tcPr>
            <w:tcW w:w="1643" w:type="dxa"/>
            <w:vMerge w:val="restart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  <w:t>Tipo variable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  <w:t xml:space="preserve">Tipo fijo </w:t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  <w:t>hasta 15 años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  <w:t xml:space="preserve">Tipo fijo </w:t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  <w:t>16-20 años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  <w:t xml:space="preserve">Tipo fijo </w:t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  <w:t>21-25 años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  <w:t>Tipo fijo</w:t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  <w:t>26-30 años</w:t>
            </w:r>
          </w:p>
        </w:tc>
      </w:tr>
      <w:tr>
        <w:trPr>
          <w:trHeight w:val="323" w:hRule="atLeast"/>
        </w:trPr>
        <w:tc>
          <w:tcPr>
            <w:tcW w:w="1643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  <w:t>1º año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  <w:t>resto</w:t>
            </w:r>
          </w:p>
        </w:tc>
        <w:tc>
          <w:tcPr>
            <w:tcW w:w="1276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</w:r>
          </w:p>
        </w:tc>
        <w:tc>
          <w:tcPr>
            <w:tcW w:w="1276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</w:r>
          </w:p>
        </w:tc>
        <w:tc>
          <w:tcPr>
            <w:tcW w:w="1134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</w:r>
          </w:p>
        </w:tc>
        <w:tc>
          <w:tcPr>
            <w:tcW w:w="1215" w:type="dxa"/>
            <w:vMerge w:val="continue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b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b/>
                <w:color w:val="000000"/>
                <w:sz w:val="16"/>
                <w:szCs w:val="16"/>
                <w:lang w:val="es-ES" w:eastAsia="es-ES"/>
              </w:rPr>
            </w:r>
          </w:p>
        </w:tc>
      </w:tr>
      <w:tr>
        <w:trPr>
          <w:trHeight w:val="432" w:hRule="atLeast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LABORAL KUTXA</w:t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(sin vinculación)</w:t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1,95%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Euribor + 0,95%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1,40%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1,45%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1,60%</w:t>
            </w:r>
          </w:p>
        </w:tc>
      </w:tr>
      <w:tr>
        <w:trPr>
          <w:trHeight w:val="426" w:hRule="atLeast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ABANCA</w:t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(con máx. bonific.)</w:t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1,20%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 xml:space="preserve">Euribor + 0,80% </w:t>
            </w:r>
          </w:p>
        </w:tc>
        <w:tc>
          <w:tcPr>
            <w:tcW w:w="4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right="1145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1,40%</w:t>
            </w:r>
          </w:p>
        </w:tc>
      </w:tr>
      <w:tr>
        <w:trPr>
          <w:trHeight w:val="679" w:hRule="atLeast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BANKIA</w:t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(vinculación nómina)</w:t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1,99%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 xml:space="preserve">Euribor + 1,05% </w:t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 xml:space="preserve">Euribor + 0,99% </w:t>
            </w:r>
            <w:r>
              <w:rPr>
                <w:rFonts w:eastAsia="Times New Roman" w:cs="Calibri" w:ascii="HelveticaNeue LT 55 Roman" w:hAnsi="HelveticaNeue LT 55 Roman"/>
                <w:color w:val="000000"/>
                <w:sz w:val="14"/>
                <w:szCs w:val="14"/>
                <w:lang w:val="es-ES" w:eastAsia="es-ES"/>
              </w:rPr>
              <w:t>(1)</w:t>
            </w: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1,75%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6" w:hRule="atLeast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IBERCAJA</w:t>
            </w:r>
          </w:p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(con máx. bonific.)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1,80%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Euribor + 0,90%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ind w:right="-1" w:hanging="0"/>
              <w:jc w:val="center"/>
              <w:rPr>
                <w:rFonts w:ascii="HelveticaNeue LT 55 Roman" w:hAnsi="HelveticaNeue LT 55 Roman" w:eastAsia="Times New Roman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Calibri" w:ascii="HelveticaNeue LT 55 Roman" w:hAnsi="HelveticaNeue LT 55 Roman"/>
                <w:color w:val="000000"/>
                <w:sz w:val="16"/>
                <w:szCs w:val="16"/>
                <w:lang w:val="es-ES" w:eastAsia="es-ES"/>
              </w:rPr>
              <w:t>1,20%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es-ES"/>
              </w:rPr>
            </w:pPr>
            <w:r>
              <w:rPr>
                <w:lang w:val="es-ES"/>
              </w:rPr>
            </w:r>
          </w:p>
        </w:tc>
      </w:tr>
    </w:tbl>
    <w:p>
      <w:pPr>
        <w:pStyle w:val="Normal"/>
        <w:ind w:right="-1" w:hanging="0"/>
        <w:jc w:val="both"/>
        <w:rPr>
          <w:rFonts w:ascii="HelveticaNeue LT 55 Roman" w:hAnsi="HelveticaNeue LT 55 Roman"/>
          <w:sz w:val="16"/>
          <w:szCs w:val="16"/>
          <w:lang w:val="es-ES"/>
        </w:rPr>
      </w:pPr>
      <w:r>
        <w:rPr>
          <w:rFonts w:ascii="HelveticaNeue LT 55 Roman" w:hAnsi="HelveticaNeue LT 55 Roman"/>
          <w:sz w:val="16"/>
          <w:szCs w:val="16"/>
          <w:lang w:val="es-ES"/>
        </w:rPr>
        <w:t xml:space="preserve"> </w:t>
      </w:r>
      <w:r>
        <w:rPr>
          <w:rFonts w:ascii="HelveticaNeue LT 55 Roman" w:hAnsi="HelveticaNeue LT 55 Roman"/>
          <w:sz w:val="16"/>
          <w:szCs w:val="16"/>
          <w:lang w:val="es-ES"/>
        </w:rPr>
        <w:t>(1) para ingresos netos de los solicitantes &gt;3.000 €</w:t>
      </w:r>
    </w:p>
    <w:p>
      <w:pPr>
        <w:pStyle w:val="Normal"/>
        <w:ind w:right="-1" w:hanging="0"/>
        <w:rPr>
          <w:rFonts w:ascii="HelveticaNeue LT 55 Roman" w:hAnsi="HelveticaNeue LT 55 Roman"/>
          <w:b/>
          <w:b/>
          <w:sz w:val="18"/>
          <w:szCs w:val="18"/>
          <w:u w:val="single"/>
          <w:lang w:val="es-ES"/>
        </w:rPr>
      </w:pPr>
      <w:r>
        <w:rPr>
          <w:rFonts w:ascii="HelveticaNeue LT 55 Roman" w:hAnsi="HelveticaNeue LT 55 Roman"/>
          <w:b/>
          <w:sz w:val="18"/>
          <w:szCs w:val="18"/>
          <w:u w:val="single"/>
          <w:lang w:val="es-ES"/>
        </w:rPr>
        <w:t>Bonificaciones a aplicar según vinculación:</w:t>
      </w:r>
      <w:bookmarkStart w:id="0" w:name="_GoBack"/>
      <w:bookmarkEnd w:id="0"/>
    </w:p>
    <w:p>
      <w:pPr>
        <w:pStyle w:val="Normal"/>
        <w:ind w:right="-1" w:hanging="0"/>
        <w:rPr>
          <w:rFonts w:ascii="HelveticaNeue LT 55 Roman" w:hAnsi="HelveticaNeue LT 55 Roman"/>
          <w:b/>
          <w:b/>
          <w:sz w:val="16"/>
          <w:szCs w:val="16"/>
          <w:lang w:val="es-ES"/>
        </w:rPr>
      </w:pPr>
      <w:r>
        <w:rPr>
          <w:rFonts w:ascii="HelveticaNeue LT 55 Roman" w:hAnsi="HelveticaNeue LT 55 Roman"/>
          <w:sz w:val="16"/>
          <w:szCs w:val="16"/>
          <w:lang w:val="es-ES"/>
        </w:rPr>
        <w:t>IBERCAJA (máx. 1,00%):</w:t>
      </w:r>
      <w:r>
        <w:rPr>
          <w:rFonts w:ascii="HelveticaNeue LT 55 Roman" w:hAnsi="HelveticaNeue LT 55 Roman"/>
          <w:b/>
          <w:sz w:val="16"/>
          <w:szCs w:val="16"/>
          <w:lang w:val="es-ES"/>
        </w:rPr>
        <w:t xml:space="preserve"> </w:t>
      </w:r>
      <w:r>
        <w:rPr>
          <w:rFonts w:ascii="HelveticaNeue LT 55 Roman" w:hAnsi="HelveticaNeue LT 55 Roman"/>
          <w:sz w:val="16"/>
          <w:szCs w:val="16"/>
          <w:lang w:val="es-ES"/>
        </w:rPr>
        <w:t>consultar bonificaciones en IRVI</w:t>
      </w:r>
      <w:r>
        <w:rPr>
          <w:rFonts w:ascii="HelveticaNeue LT 55 Roman" w:hAnsi="HelveticaNeue LT 55 Roman"/>
          <w:b/>
          <w:sz w:val="16"/>
          <w:szCs w:val="16"/>
          <w:lang w:val="es-ES"/>
        </w:rPr>
        <w:tab/>
        <w:tab/>
        <w:tab/>
        <w:tab/>
        <w:tab/>
      </w:r>
    </w:p>
    <w:p>
      <w:pPr>
        <w:pStyle w:val="Normal"/>
        <w:ind w:right="-1" w:hanging="0"/>
        <w:rPr>
          <w:rFonts w:ascii="HelveticaNeue LT 55 Roman" w:hAnsi="HelveticaNeue LT 55 Roman"/>
          <w:sz w:val="16"/>
          <w:szCs w:val="16"/>
          <w:lang w:val="es-ES"/>
        </w:rPr>
      </w:pPr>
      <w:r>
        <w:rPr>
          <w:rFonts w:ascii="HelveticaNeue LT 55 Roman" w:hAnsi="HelveticaNeue LT 55 Roman"/>
          <w:sz w:val="16"/>
          <w:szCs w:val="16"/>
          <w:lang w:val="es-ES"/>
        </w:rPr>
        <w:t>ABANCA (máx. 0,70%):</w:t>
      </w:r>
      <w:r>
        <w:rPr>
          <w:rFonts w:ascii="HelveticaNeue LT 55 Roman" w:hAnsi="HelveticaNeue LT 55 Roman"/>
          <w:b/>
          <w:sz w:val="16"/>
          <w:szCs w:val="16"/>
          <w:lang w:val="es-ES"/>
        </w:rPr>
        <w:t xml:space="preserve"> </w:t>
      </w:r>
      <w:r>
        <w:rPr>
          <w:rFonts w:ascii="HelveticaNeue LT 55 Roman" w:hAnsi="HelveticaNeue LT 55 Roman"/>
          <w:sz w:val="16"/>
          <w:szCs w:val="16"/>
          <w:lang w:val="es-ES"/>
        </w:rPr>
        <w:t>Nóminas (-0,25%), Seguro de hogar (-0,20%) y Seguro de vida (-0,25%)</w:t>
      </w:r>
    </w:p>
    <w:p>
      <w:pPr>
        <w:pStyle w:val="Normal"/>
        <w:spacing w:lineRule="auto" w:line="240" w:before="0" w:after="0"/>
        <w:rPr>
          <w:rFonts w:ascii="HelveticaNeue LT 55 Roman" w:hAnsi="HelveticaNeue LT 55 Roman"/>
          <w:sz w:val="16"/>
          <w:szCs w:val="16"/>
          <w:lang w:val="es-ES"/>
        </w:rPr>
      </w:pPr>
      <w:r>
        <w:rPr>
          <w:rFonts w:ascii="HelveticaNeue LT 55 Roman" w:hAnsi="HelveticaNeue LT 55 Roman"/>
          <w:sz w:val="16"/>
          <w:szCs w:val="16"/>
          <w:lang w:val="es-ES"/>
        </w:rPr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>- Podrá incrementarse el porcentaje financiado, a criterio de la entidad, hasta un máximo del 100% de compra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>- Gastos hipotecarios asumidos en su totalidad por la entidad, excepto tasación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>- Financiaciones por encima del 80% sobre la tasación:</w:t>
      </w:r>
    </w:p>
    <w:p>
      <w:pPr>
        <w:pStyle w:val="Normal"/>
        <w:ind w:right="-1" w:firstLine="72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>* Laboral Kutxa: incremento de un 0,25% en ambas modalidades</w:t>
      </w:r>
    </w:p>
    <w:p>
      <w:pPr>
        <w:pStyle w:val="Normal"/>
        <w:ind w:right="-1" w:firstLine="72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>* Abanca: incremento de un 0,20% en ambas modalidades</w:t>
      </w:r>
    </w:p>
    <w:p>
      <w:pPr>
        <w:pStyle w:val="Normal"/>
        <w:ind w:right="-1" w:firstLine="72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>* Bankia: no incrementa los tipos de interés</w:t>
      </w:r>
    </w:p>
    <w:p>
      <w:pPr>
        <w:pStyle w:val="Normal"/>
        <w:ind w:right="-1" w:firstLine="72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>* Ibercaja: incremento de un 0,40% en ambas modalidades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>- Plazo máximo de amortización de 30 años.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18"/>
          <w:szCs w:val="18"/>
          <w:lang w:val="es-ES"/>
        </w:rPr>
      </w:pPr>
      <w:r>
        <w:rPr>
          <w:rFonts w:ascii="HelveticaNeue LT 55 Roman" w:hAnsi="HelveticaNeue LT 55 Roman"/>
          <w:sz w:val="18"/>
          <w:szCs w:val="18"/>
          <w:lang w:val="es-ES"/>
        </w:rPr>
        <w:t>- Sin comisiones o compensaciones</w:t>
      </w:r>
    </w:p>
    <w:p>
      <w:pPr>
        <w:pStyle w:val="Normal"/>
        <w:ind w:right="-1" w:hanging="0"/>
        <w:jc w:val="center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ind w:right="-1" w:hanging="0"/>
        <w:jc w:val="center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Documentos a aportar  (</w:t>
      </w:r>
      <w:r>
        <w:rPr>
          <w:rFonts w:ascii="HelveticaNeue LT 55 Roman" w:hAnsi="HelveticaNeue LT 55 Roman"/>
          <w:b/>
          <w:bCs/>
          <w:color w:val="FF0000"/>
          <w:sz w:val="20"/>
          <w:szCs w:val="20"/>
          <w:lang w:val="es-ES"/>
        </w:rPr>
        <w:t xml:space="preserve">ORIGINALES Y </w:t>
      </w:r>
      <w:r>
        <w:rPr>
          <w:rFonts w:ascii="HelveticaNeue LT 55 Roman" w:hAnsi="HelveticaNeue LT 55 Roman"/>
          <w:b/>
          <w:bCs/>
          <w:color w:val="FF0000"/>
          <w:sz w:val="20"/>
          <w:szCs w:val="20"/>
          <w:u w:val="single"/>
          <w:lang w:val="es-ES"/>
        </w:rPr>
        <w:t>2 COPIAS</w:t>
      </w:r>
      <w:r>
        <w:rPr>
          <w:rFonts w:ascii="HelveticaNeue LT 55 Roman" w:hAnsi="HelveticaNeue LT 55 Roman"/>
          <w:sz w:val="20"/>
          <w:szCs w:val="20"/>
          <w:lang w:val="es-ES"/>
        </w:rPr>
        <w:t>)</w:t>
      </w:r>
    </w:p>
    <w:p>
      <w:pPr>
        <w:pStyle w:val="Normal"/>
        <w:ind w:right="-1" w:hanging="0"/>
        <w:jc w:val="center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left="0" w:right="-1" w:hanging="360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D.N.I. y libro de familia, en su caso.</w:t>
      </w:r>
    </w:p>
    <w:p>
      <w:pPr>
        <w:pStyle w:val="Normal"/>
        <w:ind w:right="-1" w:hanging="0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left="0" w:right="-1" w:hanging="36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Trabajador por cuenta ajena: contrato laboral, vida laboral actualizada y tres últimas nóminas.</w:t>
      </w:r>
    </w:p>
    <w:p>
      <w:pPr>
        <w:pStyle w:val="Normal"/>
        <w:ind w:right="-1" w:hanging="0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left="0" w:right="-1" w:hanging="36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Trabajador autónomo: IVA anual, 3 últimos trimestres IRPF y/o IVA, último recibo pago Seg. Soc. autónomos, certificado de la Seg. Social de estar al corriente de pagos y vida laboral actualizada.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 xml:space="preserve"> </w:t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left="0" w:right="-1" w:hanging="36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Última declaración de la renta (en su defecto, certificado anual de empresa del ejercicio anterior).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left="0" w:right="-1" w:hanging="36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Nota simple del registro de la propiedad de los bienes que se compran.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left="0" w:right="-1" w:hanging="36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Nota simple informativa de consulta al índice central del registro de la propiedad de los solicitantes.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left="0" w:right="-1" w:hanging="36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Contrato de compra-venta, reserva o arras.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 xml:space="preserve">Además en </w:t>
      </w:r>
      <w:r>
        <w:rPr>
          <w:rFonts w:ascii="HelveticaNeue LT 55 Roman" w:hAnsi="HelveticaNeue LT 55 Roman"/>
          <w:b/>
          <w:sz w:val="20"/>
          <w:szCs w:val="20"/>
          <w:u w:val="single"/>
          <w:lang w:val="es-ES"/>
        </w:rPr>
        <w:t>vivienda de 2ª mano</w:t>
      </w:r>
      <w:r>
        <w:rPr>
          <w:rFonts w:ascii="HelveticaNeue LT 55 Roman" w:hAnsi="HelveticaNeue LT 55 Roman"/>
          <w:sz w:val="20"/>
          <w:szCs w:val="20"/>
          <w:lang w:val="es-ES"/>
        </w:rPr>
        <w:t>:</w:t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left="0" w:right="-1" w:hanging="36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Fotocopia de escritura de propiedad.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left="0" w:right="-1" w:hanging="36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Fotocopia del recibo del último recibo de contribución (IBI).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left="0" w:right="-1" w:hanging="36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Certificado de la comunidad de propietarios.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sz w:val="20"/>
          <w:szCs w:val="20"/>
        </w:rPr>
        <w:t xml:space="preserve">En </w:t>
      </w:r>
      <w:r>
        <w:rPr>
          <w:rFonts w:ascii="HelveticaNeue LT 55 Roman" w:hAnsi="HelveticaNeue LT 55 Roman"/>
          <w:b/>
          <w:sz w:val="20"/>
          <w:szCs w:val="20"/>
          <w:u w:val="single"/>
        </w:rPr>
        <w:t>autopromoción y rehabilitación</w:t>
      </w:r>
      <w:r>
        <w:rPr>
          <w:rFonts w:ascii="HelveticaNeue LT 55 Roman" w:hAnsi="HelveticaNeue LT 55 Roman"/>
          <w:sz w:val="20"/>
          <w:szCs w:val="20"/>
        </w:rPr>
        <w:t>:</w:t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left="0" w:right="-1" w:hanging="36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Copia del proyecto básico y ejecución, y presupuesto correctamente visados por el COAR</w:t>
      </w:r>
      <w:r>
        <w:rPr>
          <w:rFonts w:eastAsia="Arial" w:cs="Arial" w:ascii="HelveticaNeue LT 55 Roman" w:hAnsi="HelveticaNeue LT 55 Roman"/>
          <w:sz w:val="20"/>
          <w:szCs w:val="20"/>
          <w:lang w:val="es-ES"/>
        </w:rPr>
        <w:t xml:space="preserve"> o, en su caso, descripción escrita y/o gráfica de la obra así como presupuesto.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left="0" w:right="-1" w:hanging="36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Licencia municipal de obras o, en su caso, actuación comunicada.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ind w:left="0" w:right="-1" w:hanging="36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Nota simple del solar o vivienda (con titularidad de los solicitantes)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" w:hanging="0"/>
        <w:jc w:val="both"/>
        <w:rPr>
          <w:rFonts w:ascii="HelveticaNeue LT 55 Roman" w:hAnsi="HelveticaNeue LT 55 Roman"/>
          <w:b/>
          <w:b/>
          <w:i/>
          <w:i/>
          <w:sz w:val="20"/>
          <w:szCs w:val="20"/>
          <w:lang w:val="es-ES"/>
        </w:rPr>
      </w:pPr>
      <w:r>
        <w:rPr>
          <w:rFonts w:ascii="HelveticaNeue LT 55 Roman" w:hAnsi="HelveticaNeue LT 55 Roman"/>
          <w:b/>
          <w:i/>
          <w:sz w:val="20"/>
          <w:szCs w:val="20"/>
          <w:lang w:val="es-ES"/>
        </w:rPr>
        <w:t>Datos de contacto para tramitación e información: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" w:hanging="0"/>
        <w:jc w:val="both"/>
        <w:rPr/>
      </w:pPr>
      <w:r>
        <w:rPr>
          <w:rFonts w:ascii="HelveticaNeue LT 55 Roman" w:hAnsi="HelveticaNeue LT 55 Roman"/>
          <w:sz w:val="20"/>
          <w:szCs w:val="20"/>
          <w:lang w:val="es-ES"/>
        </w:rPr>
        <w:t xml:space="preserve">Correo-e: </w:t>
      </w:r>
      <w:hyperlink r:id="rId2">
        <w:r>
          <w:rPr>
            <w:rStyle w:val="EnlacedeInternet"/>
            <w:rFonts w:ascii="HelveticaNeue LT 55 Roman" w:hAnsi="HelveticaNeue LT 55 Roman"/>
            <w:sz w:val="20"/>
            <w:szCs w:val="20"/>
            <w:lang w:val="es-ES"/>
          </w:rPr>
          <w:t>mcchavarri@larioja.org</w:t>
        </w:r>
      </w:hyperlink>
      <w:r>
        <w:rPr>
          <w:rFonts w:ascii="HelveticaNeue LT 55 Roman" w:hAnsi="HelveticaNeue LT 55 Roman"/>
          <w:sz w:val="20"/>
          <w:szCs w:val="20"/>
          <w:lang w:val="es-ES"/>
        </w:rPr>
        <w:t xml:space="preserve">; </w:t>
      </w:r>
      <w:hyperlink r:id="rId3">
        <w:r>
          <w:rPr>
            <w:rStyle w:val="EnlacedeInternet"/>
            <w:rFonts w:ascii="HelveticaNeue LT 55 Roman" w:hAnsi="HelveticaNeue LT 55 Roman"/>
            <w:sz w:val="20"/>
            <w:szCs w:val="20"/>
            <w:lang w:val="es-ES"/>
          </w:rPr>
          <w:t>mpugartec@larioja.org</w:t>
        </w:r>
      </w:hyperlink>
      <w:r>
        <w:rPr>
          <w:rFonts w:ascii="HelveticaNeue LT 55 Roman" w:hAnsi="HelveticaNeue LT 55 Roman"/>
          <w:sz w:val="20"/>
          <w:szCs w:val="20"/>
          <w:lang w:val="es-ES"/>
        </w:rPr>
        <w:t xml:space="preserve">; </w:t>
      </w:r>
      <w:hyperlink r:id="rId4">
        <w:r>
          <w:rPr>
            <w:rStyle w:val="EnlacedeInternet"/>
            <w:rFonts w:ascii="HelveticaNeue LT 55 Roman" w:hAnsi="HelveticaNeue LT 55 Roman"/>
            <w:sz w:val="20"/>
            <w:szCs w:val="20"/>
            <w:lang w:val="es-ES"/>
          </w:rPr>
          <w:t>fjandollo@larioja.org</w:t>
        </w:r>
      </w:hyperlink>
      <w:r>
        <w:rPr>
          <w:rFonts w:ascii="HelveticaNeue LT 55 Roman" w:hAnsi="HelveticaNeue LT 55 Roman"/>
          <w:sz w:val="20"/>
          <w:szCs w:val="20"/>
          <w:lang w:val="es-ES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  <w:t>Teléfono: 941.291100 ext. 36918, ext. 36919, ext.36917</w:t>
      </w:r>
    </w:p>
    <w:p>
      <w:pPr>
        <w:pStyle w:val="Normal"/>
        <w:ind w:right="-1" w:hanging="0"/>
        <w:jc w:val="both"/>
        <w:rPr>
          <w:rFonts w:ascii="HelveticaNeue LT 55 Roman" w:hAnsi="HelveticaNeue LT 55 Roman"/>
          <w:sz w:val="20"/>
          <w:szCs w:val="20"/>
          <w:lang w:val="es-ES"/>
        </w:rPr>
      </w:pPr>
      <w:r>
        <w:rPr>
          <w:rFonts w:ascii="HelveticaNeue LT 55 Roman" w:hAnsi="HelveticaNeue LT 55 Roman"/>
          <w:sz w:val="20"/>
          <w:szCs w:val="20"/>
          <w:lang w:val="es-ES"/>
        </w:rPr>
      </w:r>
    </w:p>
    <w:p>
      <w:pPr>
        <w:pStyle w:val="Normal"/>
        <w:spacing w:before="0" w:after="200"/>
        <w:ind w:right="-1" w:hanging="0"/>
        <w:jc w:val="both"/>
        <w:rPr/>
      </w:pPr>
      <w:r>
        <w:rPr>
          <w:rFonts w:ascii="HelveticaNeue LT 55 Roman" w:hAnsi="HelveticaNeue LT 55 Roman"/>
          <w:b/>
          <w:sz w:val="20"/>
          <w:szCs w:val="20"/>
          <w:lang w:val="es-ES"/>
        </w:rPr>
        <w:t>Se recomienda iniciar los trámites de solicitud de la hipoteca con una antelación mínima de dos meses a la fecha prevista para la firma de la escritura de compraventa de la vivienda.</w:t>
      </w:r>
    </w:p>
    <w:sectPr>
      <w:headerReference w:type="default" r:id="rId5"/>
      <w:footerReference w:type="default" r:id="rId6"/>
      <w:type w:val="nextPage"/>
      <w:pgSz w:w="11906" w:h="16838"/>
      <w:pgMar w:left="1418" w:right="1418" w:header="567" w:top="1985" w:footer="567" w:bottom="62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HelveticaNeue LT 55 Roman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 w:before="0" w:after="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8" wp14:anchorId="447E8740">
              <wp:simplePos x="0" y="0"/>
              <wp:positionH relativeFrom="page">
                <wp:posOffset>6296025</wp:posOffset>
              </wp:positionH>
              <wp:positionV relativeFrom="page">
                <wp:posOffset>10115550</wp:posOffset>
              </wp:positionV>
              <wp:extent cx="200660" cy="172085"/>
              <wp:effectExtent l="0" t="0" r="0" b="0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6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55" w:before="0" w:after="0"/>
                            <w:ind w:left="40" w:right="-2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95.75pt;margin-top:796.5pt;width:15.7pt;height:13.45pt;mso-position-horizontal-relative:page;mso-position-vertical-relative:page" wp14:anchorId="447E8740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55" w:before="0" w:after="0"/>
                      <w:ind w:left="40" w:right="-2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center"/>
      <w:rPr/>
    </w:pPr>
    <w:r>
      <w:rPr/>
      <w:drawing>
        <wp:inline distT="0" distB="1270" distL="0" distR="0">
          <wp:extent cx="5760085" cy="684530"/>
          <wp:effectExtent l="0" t="0" r="0" b="0"/>
          <wp:docPr id="2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59450" cy="2134870"/>
              <wp:effectExtent l="0" t="0" r="0" b="0"/>
              <wp:wrapNone/>
              <wp:docPr id="1" name="WordPictureWatermark783661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7836618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8920" cy="21340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836618" o:spid="shape_0" stroked="f" style="position:absolute;margin-left:0pt;margin-top:268.1pt;width:453.4pt;height:168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  <w:p>
    <w:pPr>
      <w:pStyle w:val="Cabecera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11" wp14:anchorId="5792AFA9">
              <wp:simplePos x="0" y="0"/>
              <wp:positionH relativeFrom="column">
                <wp:posOffset>-748030</wp:posOffset>
              </wp:positionH>
              <wp:positionV relativeFrom="paragraph">
                <wp:posOffset>3175</wp:posOffset>
              </wp:positionV>
              <wp:extent cx="7315835" cy="1270"/>
              <wp:effectExtent l="13970" t="12700" r="5080" b="6350"/>
              <wp:wrapNone/>
              <wp:docPr id="3" name="Auto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33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3" stroked="t" style="position:absolute;margin-left:-58.9pt;margin-top:0.25pt;width:575.95pt;height:0pt" wp14:anchorId="5792AFA9" type="shapetype_32">
              <w10:wrap type="none"/>
              <v:fill o:detectmouseclick="t" on="false"/>
              <v:stroke color="#003300" weight="9360" joinstyle="round" endcap="fla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02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1d79f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d79f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b3a83"/>
    <w:rPr>
      <w:rFonts w:ascii="Tahoma" w:hAnsi="Tahoma" w:cs="Tahoma"/>
      <w:sz w:val="16"/>
      <w:szCs w:val="16"/>
    </w:rPr>
  </w:style>
  <w:style w:type="character" w:styleId="EnlacedeInternet">
    <w:name w:val="Enlace de Internet"/>
    <w:basedOn w:val="DefaultParagraphFont"/>
    <w:uiPriority w:val="99"/>
    <w:unhideWhenUsed/>
    <w:rsid w:val="00de3677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Arial" w:cs="Arial"/>
      <w:color w:val="3B3B3B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Times New Roman" w:cs="Times New Roman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ascii="HelveticaNeue LT 55 Roman" w:hAnsi="HelveticaNeue LT 55 Roman" w:eastAsia="Times New Roman" w:cs="Times New Roman"/>
      <w:sz w:val="20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Calibri" w:cs=""/>
    </w:rPr>
  </w:style>
  <w:style w:type="character" w:styleId="ListLabel39">
    <w:name w:val="ListLabel 39"/>
    <w:qFormat/>
    <w:rPr>
      <w:rFonts w:ascii="HelveticaNeue LT 55 Roman" w:hAnsi="HelveticaNeue LT 55 Roman"/>
      <w:sz w:val="20"/>
      <w:szCs w:val="20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d79f6"/>
    <w:pPr>
      <w:spacing w:before="0" w:after="200"/>
      <w:ind w:left="720" w:hanging="0"/>
      <w:contextualSpacing/>
    </w:pPr>
    <w:rPr/>
  </w:style>
  <w:style w:type="paragraph" w:styleId="Cabecera">
    <w:name w:val="Header"/>
    <w:basedOn w:val="Normal"/>
    <w:link w:val="EncabezadoCar"/>
    <w:uiPriority w:val="99"/>
    <w:unhideWhenUsed/>
    <w:rsid w:val="001d79f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1d79f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b3a8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c28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chavarri@larioja.org" TargetMode="External"/><Relationship Id="rId3" Type="http://schemas.openxmlformats.org/officeDocument/2006/relationships/hyperlink" Target="mailto:mpugartec@larioja.org" TargetMode="External"/><Relationship Id="rId4" Type="http://schemas.openxmlformats.org/officeDocument/2006/relationships/hyperlink" Target="mailto:fjandollo@larioja.org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740B-DA2A-4CFC-BE96-DDABDFC7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LibreOffice/6.0.4.2$Windows_X86_64 LibreOffice_project/9b0d9b32d5dcda91d2f1a96dc04c645c450872bf</Application>
  <Pages>4</Pages>
  <Words>551</Words>
  <Characters>3004</Characters>
  <CharactersWithSpaces>3482</CharactersWithSpaces>
  <Paragraphs>79</Paragraphs>
  <Company>Irvi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2020-07-17T09:40:00Z</dcterms:created>
  <dc:creator>PC005145</dc:creator>
  <dc:description/>
  <dc:language>es-ES</dc:language>
  <cp:lastModifiedBy>Francisco Javier Andollo Hernandez</cp:lastModifiedBy>
  <cp:lastPrinted>2020-03-11T07:22:00Z</cp:lastPrinted>
  <dcterms:modified xsi:type="dcterms:W3CDTF">2020-10-27T09:51:00Z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Irvi</vt:lpwstr>
  </property>
  <property fmtid="{D5CDD505-2E9C-101B-9397-08002B2CF9AE}" pid="4" name="Created">
    <vt:filetime>2011-07-27T00:00:00Z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2013-06-27T00:00:00Z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